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3AFD07C8">
            <wp:simplePos x="0" y="0"/>
            <wp:positionH relativeFrom="margin">
              <wp:posOffset>1676400</wp:posOffset>
            </wp:positionH>
            <wp:positionV relativeFrom="paragraph">
              <wp:posOffset>2334260</wp:posOffset>
            </wp:positionV>
            <wp:extent cx="1913890" cy="191389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031887C8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111" w14:textId="500020B7" w:rsidR="0087444D" w:rsidRPr="000D2185" w:rsidRDefault="00C84B31" w:rsidP="00D354D6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C84B31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LED Flat Par </w:t>
                            </w:r>
                            <w:r w:rsidR="00DE74E6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19</w:t>
                            </w:r>
                            <w:r w:rsidRPr="00C84B31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x3W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45FC1111" w14:textId="500020B7" w:rsidR="0087444D" w:rsidRPr="000D2185" w:rsidRDefault="00C84B31" w:rsidP="00D354D6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C84B31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LED Flat Par </w:t>
                      </w:r>
                      <w:r w:rsidR="00DE74E6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19</w:t>
                      </w:r>
                      <w:r w:rsidRPr="00C84B31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x3W Manual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6F" w14:textId="3DE06033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lastRenderedPageBreak/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77777777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Summary-8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08F9D1E0" w:rsidR="00C91117" w:rsidRPr="00B9677B" w:rsidRDefault="00C91117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EF6CFC2" w14:textId="6FE00432" w:rsidR="00C91117" w:rsidRPr="00F27918" w:rsidRDefault="00F27918" w:rsidP="001D4CA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D8D37D1" w14:textId="2A56DDD7" w:rsidR="00C91117" w:rsidRPr="00587900" w:rsidRDefault="00587900" w:rsidP="00F27918">
            <w:proofErr w:type="spellStart"/>
            <w:proofErr w:type="gramStart"/>
            <w:r>
              <w:rPr>
                <w:sz w:val="24"/>
                <w:szCs w:val="24"/>
              </w:rPr>
              <w:t>R,G</w:t>
            </w:r>
            <w:proofErr w:type="gramEnd"/>
            <w:r>
              <w:rPr>
                <w:sz w:val="24"/>
                <w:szCs w:val="24"/>
              </w:rPr>
              <w:t>,B,total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dimming,linear</w:t>
            </w:r>
            <w:proofErr w:type="spellEnd"/>
            <w:r>
              <w:rPr>
                <w:sz w:val="24"/>
                <w:szCs w:val="24"/>
              </w:rPr>
              <w:t xml:space="preserve"> dimming form dark to light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2F52569" w:rsidR="00C91117" w:rsidRPr="00B9677B" w:rsidRDefault="00C91117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0D030E4" w14:textId="60F2D727" w:rsidR="00C91117" w:rsidRPr="00F27918" w:rsidRDefault="00F27918" w:rsidP="001D4CA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DF09422" w14:textId="0AD46DB6" w:rsidR="00C91117" w:rsidRPr="00587900" w:rsidRDefault="00587900" w:rsidP="00F27918">
            <w:r>
              <w:rPr>
                <w:sz w:val="24"/>
                <w:szCs w:val="24"/>
              </w:rPr>
              <w:t xml:space="preserve">Red light color control, channel value of 0 for the closed light, 1~255 for the </w:t>
            </w:r>
            <w:proofErr w:type="gramStart"/>
            <w:r>
              <w:rPr>
                <w:sz w:val="24"/>
                <w:szCs w:val="24"/>
              </w:rPr>
              <w:t>red light</w:t>
            </w:r>
            <w:proofErr w:type="gramEnd"/>
            <w:r>
              <w:rPr>
                <w:sz w:val="24"/>
                <w:szCs w:val="24"/>
              </w:rPr>
              <w:t xml:space="preserve"> adjustment</w:t>
            </w:r>
          </w:p>
        </w:tc>
      </w:tr>
      <w:tr w:rsidR="00C91117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41A91F56" w:rsidR="00C91117" w:rsidRPr="00B9677B" w:rsidRDefault="00C91117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502B817" w14:textId="4D58DF2B" w:rsidR="00C91117" w:rsidRPr="00F27918" w:rsidRDefault="00F27918" w:rsidP="001D4CA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A0B1A4E" w14:textId="0C0083FE" w:rsidR="00C91117" w:rsidRPr="00587900" w:rsidRDefault="00587900" w:rsidP="00F27918">
            <w:r>
              <w:rPr>
                <w:sz w:val="24"/>
                <w:szCs w:val="24"/>
              </w:rPr>
              <w:t>Green color control, channel value of 0 for the closed light, 1~255 for the green light adjustment</w:t>
            </w:r>
          </w:p>
        </w:tc>
      </w:tr>
      <w:tr w:rsidR="00F27918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1023F931" w:rsidR="00F27918" w:rsidRPr="00B9677B" w:rsidRDefault="00F27918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159F6CBC" w14:textId="4971B7E3" w:rsidR="00F27918" w:rsidRPr="00CA0F25" w:rsidRDefault="00F27918" w:rsidP="001D4CA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01B16C1" w14:textId="0929EE76" w:rsidR="00F27918" w:rsidRPr="00587900" w:rsidRDefault="00587900" w:rsidP="00F27918">
            <w:r>
              <w:rPr>
                <w:sz w:val="24"/>
                <w:szCs w:val="24"/>
              </w:rPr>
              <w:t>Blue light color control, channel value of 0 for closed light, 1~255 for blue light adjustment</w:t>
            </w:r>
          </w:p>
        </w:tc>
      </w:tr>
      <w:tr w:rsidR="00A70208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6D85106B" w:rsidR="00A70208" w:rsidRPr="00B9677B" w:rsidRDefault="00A70208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3A078E1" w14:textId="35BB6876" w:rsidR="00A70208" w:rsidRPr="00CA0F25" w:rsidRDefault="00A70208" w:rsidP="001D4CA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E4A479F" w14:textId="148B65B2" w:rsidR="00A70208" w:rsidRPr="0090331A" w:rsidRDefault="00DE74E6" w:rsidP="00DE74E6">
            <w:pPr>
              <w:autoSpaceDE w:val="0"/>
              <w:spacing w:line="380" w:lineRule="exact"/>
              <w:jc w:val="left"/>
              <w:rPr>
                <w:rFonts w:hint="eastAsia"/>
                <w:szCs w:val="21"/>
              </w:rPr>
            </w:pPr>
            <w:r>
              <w:rPr>
                <w:sz w:val="24"/>
                <w:szCs w:val="24"/>
              </w:rPr>
              <w:t>Strobe from fast to slow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0F2B" w:rsidRPr="00CA0F25" w14:paraId="6946AD7A" w14:textId="77777777" w:rsidTr="00F27918">
        <w:tc>
          <w:tcPr>
            <w:tcW w:w="1246" w:type="dxa"/>
            <w:shd w:val="clear" w:color="auto" w:fill="auto"/>
          </w:tcPr>
          <w:p w14:paraId="474DEEC0" w14:textId="77777777" w:rsidR="00F60F2B" w:rsidRPr="00B9677B" w:rsidRDefault="00F60F2B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13CD12D2" w14:textId="07CA23A6" w:rsidR="00F60F2B" w:rsidRDefault="00F60F2B" w:rsidP="001D4CA5">
            <w:pPr>
              <w:spacing w:line="3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1F94F3C3" w14:textId="77777777" w:rsidR="00F60F2B" w:rsidRDefault="00F60F2B" w:rsidP="00F60F2B">
            <w:pPr>
              <w:autoSpaceDE w:val="0"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51-100········Program jump</w:t>
            </w:r>
          </w:p>
          <w:p w14:paraId="30584A05" w14:textId="77777777" w:rsidR="00F60F2B" w:rsidRDefault="00F60F2B" w:rsidP="00F60F2B">
            <w:pPr>
              <w:autoSpaceDE w:val="0"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101-150·······Program gradient</w:t>
            </w:r>
          </w:p>
          <w:p w14:paraId="461C74E9" w14:textId="77777777" w:rsidR="00F60F2B" w:rsidRDefault="00F60F2B" w:rsidP="00F60F2B">
            <w:pPr>
              <w:autoSpaceDE w:val="0"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151-200·······Program pulse</w:t>
            </w:r>
          </w:p>
          <w:p w14:paraId="3D57B850" w14:textId="53093094" w:rsidR="00F60F2B" w:rsidRDefault="00F60F2B" w:rsidP="00F60F2B">
            <w:pPr>
              <w:autoSpaceDE w:val="0"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201-255·······</w:t>
            </w:r>
            <w:r w:rsidR="007218F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 control function</w:t>
            </w:r>
          </w:p>
        </w:tc>
      </w:tr>
      <w:tr w:rsidR="00A70208" w:rsidRPr="00CA0F25" w14:paraId="30A040B5" w14:textId="77777777" w:rsidTr="00F27918">
        <w:tc>
          <w:tcPr>
            <w:tcW w:w="1246" w:type="dxa"/>
            <w:shd w:val="clear" w:color="auto" w:fill="auto"/>
          </w:tcPr>
          <w:p w14:paraId="5479544F" w14:textId="24D3D15C" w:rsidR="00A70208" w:rsidRPr="00B9677B" w:rsidRDefault="00A70208" w:rsidP="00B9677B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4DA42CAC" w14:textId="01219F04" w:rsidR="00A70208" w:rsidRPr="00CA0F25" w:rsidRDefault="00A70208" w:rsidP="001D4CA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E529163" w14:textId="3A761D3B" w:rsidR="00A70208" w:rsidRPr="00A70208" w:rsidRDefault="00F60F2B" w:rsidP="00F60F2B">
            <w:pPr>
              <w:jc w:val="left"/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unction</w:t>
            </w:r>
            <w:r>
              <w:rPr>
                <w:sz w:val="24"/>
                <w:szCs w:val="24"/>
              </w:rPr>
              <w:t xml:space="preserve"> Speed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7218F6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7218F6">
        <w:tc>
          <w:tcPr>
            <w:tcW w:w="736" w:type="dxa"/>
            <w:shd w:val="clear" w:color="auto" w:fill="auto"/>
          </w:tcPr>
          <w:p w14:paraId="6C7A836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772928F9" w:rsidR="00C91117" w:rsidRPr="00CA0F25" w:rsidRDefault="007218F6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C</w:t>
            </w:r>
            <w:r w:rsidR="00C91117" w:rsidRPr="00CA0F25">
              <w:rPr>
                <w:rFonts w:ascii="等线" w:eastAsia="等线" w:hAnsi="等线"/>
                <w:sz w:val="24"/>
                <w:szCs w:val="24"/>
              </w:rPr>
              <w:t>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7218F6">
        <w:tc>
          <w:tcPr>
            <w:tcW w:w="736" w:type="dxa"/>
            <w:shd w:val="clear" w:color="auto" w:fill="auto"/>
          </w:tcPr>
          <w:p w14:paraId="3482ADD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jump, (001-99) through the [UP] key or [DOWN] down key to modify the speed of the jump</w:t>
            </w:r>
          </w:p>
        </w:tc>
      </w:tr>
      <w:tr w:rsidR="00C91117" w:rsidRPr="00CA0F25" w14:paraId="302DED81" w14:textId="77777777" w:rsidTr="007218F6">
        <w:tc>
          <w:tcPr>
            <w:tcW w:w="736" w:type="dxa"/>
            <w:shd w:val="clear" w:color="auto" w:fill="auto"/>
          </w:tcPr>
          <w:p w14:paraId="6826400A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gradient, (001-99), through the [UP] key or [DOWN] down key to modify the speed of the gradient</w:t>
            </w:r>
          </w:p>
        </w:tc>
      </w:tr>
      <w:tr w:rsidR="00C91117" w:rsidRPr="00CA0F25" w14:paraId="74ED3B1C" w14:textId="77777777" w:rsidTr="007218F6">
        <w:tc>
          <w:tcPr>
            <w:tcW w:w="736" w:type="dxa"/>
            <w:shd w:val="clear" w:color="auto" w:fill="auto"/>
          </w:tcPr>
          <w:p w14:paraId="6CFD4B1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Enter the display menu for the program demo mode, the program from the walk through the [UP] key or [DOWN] down key to modify the speed of the speed</w:t>
            </w:r>
          </w:p>
        </w:tc>
      </w:tr>
      <w:tr w:rsidR="00C91117" w:rsidRPr="00CA0F25" w14:paraId="2E1E31F7" w14:textId="77777777" w:rsidTr="007218F6">
        <w:tc>
          <w:tcPr>
            <w:tcW w:w="736" w:type="dxa"/>
            <w:shd w:val="clear" w:color="auto" w:fill="auto"/>
          </w:tcPr>
          <w:p w14:paraId="4C018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749EC70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bCs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The</w:t>
            </w:r>
            <w:r w:rsidRPr="00CA0F25">
              <w:rPr>
                <w:rFonts w:ascii="等线" w:eastAsia="等线" w:hAnsi="等线" w:hint="eastAsia"/>
                <w:bCs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display menu to voice mode, through sound trigger transformation of a different color. </w:t>
            </w:r>
          </w:p>
          <w:p w14:paraId="0A45AD8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Note: voice function test, attention should be paid to the level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lastRenderedPageBreak/>
              <w:t>of sound sensitivity, and adjusting the driving plate to fine tune the position to get the best sensitivity to enter</w:t>
            </w:r>
          </w:p>
        </w:tc>
      </w:tr>
      <w:tr w:rsidR="00C91117" w:rsidRPr="00CA0F25" w14:paraId="26CC80C4" w14:textId="77777777" w:rsidTr="007218F6">
        <w:tc>
          <w:tcPr>
            <w:tcW w:w="736" w:type="dxa"/>
            <w:shd w:val="clear" w:color="auto" w:fill="auto"/>
          </w:tcPr>
          <w:p w14:paraId="576F8D1F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7777777" w:rsidR="00C91117" w:rsidRPr="00CA0F25" w:rsidRDefault="00C91117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color selection, (001-255) through the [UP] up or [DOWN] down key to modify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brightness</w:t>
            </w:r>
          </w:p>
        </w:tc>
      </w:tr>
      <w:tr w:rsidR="00C91117" w:rsidRPr="00CA0F25" w14:paraId="6BABC29A" w14:textId="77777777" w:rsidTr="007218F6">
        <w:tc>
          <w:tcPr>
            <w:tcW w:w="736" w:type="dxa"/>
            <w:shd w:val="clear" w:color="auto" w:fill="auto"/>
          </w:tcPr>
          <w:p w14:paraId="0E74ADE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Green color selection, (001-255) through the [UP] key or [DOWN] down key to modify the green brightness</w:t>
            </w:r>
          </w:p>
        </w:tc>
      </w:tr>
      <w:tr w:rsidR="00C91117" w:rsidRPr="00CA0F25" w14:paraId="1890D4DD" w14:textId="77777777" w:rsidTr="007218F6">
        <w:tc>
          <w:tcPr>
            <w:tcW w:w="736" w:type="dxa"/>
            <w:shd w:val="clear" w:color="auto" w:fill="auto"/>
          </w:tcPr>
          <w:p w14:paraId="375573C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Blue color selection, (001-255) by the "UP" key or "DOWN" down key to modify the blue brightness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21DAA8EC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7218F6">
        <w:rPr>
          <w:rFonts w:ascii="等线" w:eastAsia="等线" w:hAnsi="等线"/>
          <w:sz w:val="24"/>
        </w:rPr>
        <w:t>57</w:t>
      </w:r>
      <w:r w:rsidRPr="00CA0F25">
        <w:rPr>
          <w:rFonts w:ascii="等线" w:eastAsia="等线" w:hAnsi="等线"/>
          <w:sz w:val="24"/>
        </w:rPr>
        <w:t>W</w:t>
      </w:r>
    </w:p>
    <w:p w14:paraId="6D4617D8" w14:textId="69645EB8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7218F6">
        <w:rPr>
          <w:rFonts w:ascii="等线" w:eastAsia="等线" w:hAnsi="等线"/>
          <w:sz w:val="24"/>
        </w:rPr>
        <w:t>19</w:t>
      </w:r>
      <w:r w:rsidRPr="00CA0F25">
        <w:rPr>
          <w:rFonts w:ascii="等线" w:eastAsia="等线" w:hAnsi="等线"/>
          <w:sz w:val="24"/>
        </w:rPr>
        <w:t>×</w:t>
      </w:r>
      <w:r w:rsidR="001D4CA5">
        <w:rPr>
          <w:rFonts w:ascii="等线" w:eastAsia="等线" w:hAnsi="等线"/>
          <w:sz w:val="24"/>
        </w:rPr>
        <w:t>3</w:t>
      </w:r>
      <w:r w:rsidRPr="00CA0F25">
        <w:rPr>
          <w:rFonts w:ascii="等线" w:eastAsia="等线" w:hAnsi="等线"/>
          <w:sz w:val="24"/>
        </w:rPr>
        <w:t xml:space="preserve">W RGBW </w:t>
      </w:r>
    </w:p>
    <w:p w14:paraId="350DB04E" w14:textId="35320608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974FDA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  <w:bookmarkStart w:id="0" w:name="_GoBack"/>
      <w:bookmarkEnd w:id="0"/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6DFCC" w14:textId="77777777" w:rsidR="00E96FEA" w:rsidRDefault="00E96FEA" w:rsidP="00CE7ED8">
      <w:r>
        <w:separator/>
      </w:r>
    </w:p>
  </w:endnote>
  <w:endnote w:type="continuationSeparator" w:id="0">
    <w:p w14:paraId="787546A3" w14:textId="77777777" w:rsidR="00E96FEA" w:rsidRDefault="00E96FEA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E5840" w14:textId="77777777" w:rsidR="00E96FEA" w:rsidRDefault="00E96FEA" w:rsidP="00CE7ED8">
      <w:r>
        <w:separator/>
      </w:r>
    </w:p>
  </w:footnote>
  <w:footnote w:type="continuationSeparator" w:id="0">
    <w:p w14:paraId="33A0FE3D" w14:textId="77777777" w:rsidR="00E96FEA" w:rsidRDefault="00E96FEA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D8F5E11"/>
    <w:multiLevelType w:val="hybridMultilevel"/>
    <w:tmpl w:val="15407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5653A"/>
    <w:rsid w:val="00171D25"/>
    <w:rsid w:val="001D4CA5"/>
    <w:rsid w:val="001F57D9"/>
    <w:rsid w:val="00317E76"/>
    <w:rsid w:val="00361A85"/>
    <w:rsid w:val="003C2F61"/>
    <w:rsid w:val="00407BF5"/>
    <w:rsid w:val="0044629A"/>
    <w:rsid w:val="004B0599"/>
    <w:rsid w:val="0052503A"/>
    <w:rsid w:val="00565D1F"/>
    <w:rsid w:val="00587900"/>
    <w:rsid w:val="005A41CB"/>
    <w:rsid w:val="005B53B9"/>
    <w:rsid w:val="006C6471"/>
    <w:rsid w:val="006D44D7"/>
    <w:rsid w:val="007218F6"/>
    <w:rsid w:val="007312A3"/>
    <w:rsid w:val="008168CB"/>
    <w:rsid w:val="00832DA5"/>
    <w:rsid w:val="0087444D"/>
    <w:rsid w:val="008D5581"/>
    <w:rsid w:val="008F5353"/>
    <w:rsid w:val="0090331A"/>
    <w:rsid w:val="00974FDA"/>
    <w:rsid w:val="00A70208"/>
    <w:rsid w:val="00A90DD2"/>
    <w:rsid w:val="00B027ED"/>
    <w:rsid w:val="00B07546"/>
    <w:rsid w:val="00B17DDC"/>
    <w:rsid w:val="00B2746C"/>
    <w:rsid w:val="00B9677B"/>
    <w:rsid w:val="00C84B31"/>
    <w:rsid w:val="00C91117"/>
    <w:rsid w:val="00CE7ED8"/>
    <w:rsid w:val="00D132E4"/>
    <w:rsid w:val="00D354D6"/>
    <w:rsid w:val="00DD5E5A"/>
    <w:rsid w:val="00DE2910"/>
    <w:rsid w:val="00DE74E6"/>
    <w:rsid w:val="00E96FEA"/>
    <w:rsid w:val="00F14420"/>
    <w:rsid w:val="00F27918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B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383A-67C8-412F-B7A9-A176B253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2018-08-14T01:54:00Z</dcterms:created>
  <dcterms:modified xsi:type="dcterms:W3CDTF">2018-08-25T06:35:00Z</dcterms:modified>
</cp:coreProperties>
</file>